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632"/>
        <w:spacing w:after="0" w:line="240" w:lineRule="auto"/>
        <w:tabs>
          <w:tab w:val="center" w:pos="737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 xml:space="preserve">УТВЕРЖДАЮ</w:t>
      </w: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ab/>
      </w:r>
      <w:r/>
    </w:p>
    <w:p>
      <w:pPr>
        <w:ind w:left="10632"/>
        <w:spacing w:after="0" w:line="240" w:lineRule="auto"/>
        <w:tabs>
          <w:tab w:val="center" w:pos="737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 xml:space="preserve">Директор МКУ «Управление городского хозяйства» </w:t>
      </w:r>
      <w:r/>
    </w:p>
    <w:p>
      <w:pPr>
        <w:ind w:left="8222" w:firstLine="2551"/>
        <w:rPr>
          <w:b/>
        </w:rPr>
      </w:pP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 xml:space="preserve">________________А.С. Горбачев</w:t>
      </w:r>
      <w:r/>
    </w:p>
    <w:p>
      <w:pPr>
        <w:pStyle w:val="642"/>
        <w:jc w:val="center"/>
        <w:tabs>
          <w:tab w:val="center" w:pos="7370" w:leader="none"/>
          <w:tab w:val="left" w:pos="8227" w:leader="none"/>
        </w:tabs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 xml:space="preserve">Отчет</w:t>
      </w:r>
      <w:r/>
    </w:p>
    <w:p>
      <w:pPr>
        <w:jc w:val="center"/>
        <w:spacing w:after="0" w:line="240" w:lineRule="auto"/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 xml:space="preserve">о реализации Плана мероприятий по противодействию коррупции в МКУ «Управление городского хозяйства» на 2021-2022 годы,</w:t>
      </w:r>
      <w:r/>
    </w:p>
    <w:p>
      <w:pPr>
        <w:jc w:val="center"/>
        <w:spacing w:after="0" w:line="240" w:lineRule="auto"/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b/>
          <w:sz w:val="24"/>
          <w:szCs w:val="24"/>
          <w:lang w:eastAsia="ru-RU"/>
        </w:rPr>
        <w:t xml:space="preserve">за 2022 год</w:t>
      </w:r>
      <w:r/>
    </w:p>
    <w:p>
      <w:pPr>
        <w:tabs>
          <w:tab w:val="left" w:pos="5535" w:leader="none"/>
        </w:tabs>
      </w:pPr>
      <w:r/>
      <w:r/>
    </w:p>
    <w:tbl>
      <w:tblPr>
        <w:tblStyle w:val="644"/>
        <w:tblW w:w="0" w:type="auto"/>
        <w:tblLook w:val="04A0" w:firstRow="1" w:lastRow="0" w:firstColumn="1" w:lastColumn="0" w:noHBand="0" w:noVBand="1"/>
      </w:tblPr>
      <w:tblGrid>
        <w:gridCol w:w="988"/>
        <w:gridCol w:w="6858"/>
        <w:gridCol w:w="6891"/>
      </w:tblGrid>
      <w:tr>
        <w:trPr/>
        <w:tc>
          <w:tcPr>
            <w:tcW w:w="988" w:type="dxa"/>
            <w:textDirection w:val="lrTb"/>
            <w:noWrap w:val="false"/>
          </w:tcPr>
          <w:p>
            <w:r>
              <w:t xml:space="preserve">№</w:t>
            </w:r>
            <w:r/>
          </w:p>
        </w:tc>
        <w:tc>
          <w:tcPr>
            <w:tcW w:w="6858" w:type="dxa"/>
            <w:textDirection w:val="lrTb"/>
            <w:noWrap w:val="false"/>
          </w:tcPr>
          <w:p>
            <w:pPr>
              <w:tabs>
                <w:tab w:val="left" w:pos="1020" w:leader="none"/>
              </w:tabs>
            </w:pPr>
            <w: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Наименования мероприятия</w:t>
            </w:r>
            <w:r/>
          </w:p>
        </w:tc>
        <w:tc>
          <w:tcPr>
            <w:tcW w:w="6891" w:type="dxa"/>
            <w:textDirection w:val="lrTb"/>
            <w:noWrap w:val="false"/>
          </w:tcPr>
          <w:p>
            <w:r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  <w:t xml:space="preserve">Информация об исполнении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</w:t>
            </w:r>
            <w:r/>
          </w:p>
        </w:tc>
        <w:tc>
          <w:tcPr>
            <w:tcW w:w="6858" w:type="dxa"/>
            <w:textDirection w:val="lrTb"/>
            <w:noWrap w:val="false"/>
          </w:tcPr>
          <w:p>
            <w:pPr>
              <w:contextualSpacing/>
              <w:jc w:val="both"/>
              <w:spacing w:after="200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Проведение мероприятий по предупреждению коррупции в учреждении, в том числе:</w:t>
            </w:r>
            <w:r/>
          </w:p>
          <w:p>
            <w:pPr>
              <w:contextualSpacing/>
              <w:jc w:val="both"/>
              <w:spacing w:after="200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 активизация работы по формированию у работников отрицательного отношения к коррупции, предание гласности каждого установленного факта коррупции в учреждении;</w:t>
            </w:r>
            <w:r/>
          </w:p>
          <w:p>
            <w:pPr>
              <w:contextualSpacing/>
              <w:jc w:val="both"/>
              <w:spacing w:after="200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 формирование негативного отношения работников к дарению подарков в связи с исполнением ими служебных обязанностей;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 недопущение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/>
          </w:p>
        </w:tc>
        <w:tc>
          <w:tcPr>
            <w:tcW w:w="689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 течение 2022 года проводилась работа в учреждении в соответствии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 утвержденной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антикоррупционной политикой учреждения; случаев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 не выявлено.</w:t>
            </w:r>
            <w:r/>
          </w:p>
          <w:p>
            <w:pPr>
              <w:jc w:val="both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 декабре 2022года (в связи с предстоящими новогодними и рождественскими праздниками) ознакомлены:</w:t>
            </w:r>
            <w:r/>
          </w:p>
          <w:p>
            <w:pPr>
              <w:jc w:val="both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 директор МКУ «Управление городского хозяйства» с Правилами о соблюдении запрета на получение в связи с исполнением трудовых обязанностей вознаграждения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вознаграждения), предусмотренного пп. «а» п. 1.2 постановления Администрации Пуровского района от 19.01.2021 № 18-ПА;</w:t>
            </w:r>
            <w:r/>
          </w:p>
          <w:p>
            <w:pPr>
              <w:jc w:val="both"/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сотрудники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МКУ «Управление городского хозяйства» о соблюдении Правил обмена деловыми подарками и знаками делового гостеприимства, утвержденных приказом МКУ «Управление городского хозяйства» от 31 декабря 2019 года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№ 143-од «О мерах по предупреждению коррупции».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</w:t>
            </w:r>
            <w:r/>
          </w:p>
        </w:tc>
        <w:tc>
          <w:tcPr>
            <w:tcW w:w="6858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проверок по поступившим уведомлениям о фактах обращения к работникам учреждения в целях склонения их к совершению коррупционных правонарушений и направление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материалов проверок в органы прокуратуры и иные федеральные государственные органы</w:t>
            </w:r>
            <w:r/>
          </w:p>
        </w:tc>
        <w:tc>
          <w:tcPr>
            <w:tcW w:w="689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Уведомлений о фактах обращения к работникам учреждения в целях склонения их к совершению коррупционных правонарушении, не поступало.</w:t>
            </w:r>
            <w:r/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</w:t>
            </w:r>
            <w:r/>
          </w:p>
        </w:tc>
        <w:tc>
          <w:tcPr>
            <w:tcW w:w="685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</w:t>
            </w:r>
            <w:r/>
          </w:p>
        </w:tc>
        <w:tc>
          <w:tcPr>
            <w:tcW w:w="689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Обращений граждан и юридических лиц о фактах коррупции со стороны работников МКУ «Управление городского хозяйства» и о ненадлежащем рассмотрении граждан, не поступало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.</w:t>
            </w:r>
            <w:r/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</w:t>
            </w:r>
            <w:r/>
          </w:p>
        </w:tc>
        <w:tc>
          <w:tcPr>
            <w:tcW w:w="685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комплекса организационных разъяснительных и иных мер по вопросам противодействия коррупции (проведение собрания, вебинара, онлайн-консультации, семинара, учебы, индивидуальных консультаций)</w:t>
            </w:r>
            <w:r/>
          </w:p>
        </w:tc>
        <w:tc>
          <w:tcPr>
            <w:tcW w:w="689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2022 году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сотрудники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учреждения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письменно ознакомлены о запрете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на получение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5</w:t>
            </w:r>
            <w:r/>
          </w:p>
        </w:tc>
        <w:tc>
          <w:tcPr>
            <w:tcW w:w="685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Ознакомление вновь принимаемых работников с локальными актами учреждения о противодействии коррупции</w:t>
            </w:r>
            <w:r/>
          </w:p>
        </w:tc>
        <w:tc>
          <w:tcPr>
            <w:tcW w:w="689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Вновь  принимаемые сотрудники МКУ «Управление городского хозяйства» ознак</w:t>
            </w:r>
            <w:bookmarkStart w:id="0" w:name="_GoBack"/>
            <w:r/>
            <w:bookmarkEnd w:id="0"/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амливаются под подпись с приказом МКУ «Управление городского хозяйства» от 31.12.2019 № 143-од «О мерах по предупреждению коррупции».</w:t>
            </w:r>
            <w:r/>
          </w:p>
        </w:tc>
      </w:tr>
      <w:tr>
        <w:trPr/>
        <w:tc>
          <w:tcPr>
            <w:tcW w:w="98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6</w:t>
            </w:r>
            <w:r/>
          </w:p>
        </w:tc>
        <w:tc>
          <w:tcPr>
            <w:tcW w:w="6858" w:type="dxa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Осуществление взаимодействия с правоохранительными органами, органами прокуратуры, иными государственными органами и организациями</w:t>
            </w:r>
            <w:r/>
          </w:p>
        </w:tc>
        <w:tc>
          <w:tcPr>
            <w:tcW w:w="6891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Информация (коррупционные правонарушения), являющаяся основанием для обращения в правоохранительные органы, органы прокуратуры не поступала.</w:t>
            </w:r>
            <w:r/>
          </w:p>
          <w:p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0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Segoe UI">
    <w:panose1 w:val="020B05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35"/>
    <w:link w:val="642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5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35"/>
    <w:link w:val="638"/>
    <w:uiPriority w:val="99"/>
  </w:style>
  <w:style w:type="character" w:styleId="44">
    <w:name w:val="Footer Char"/>
    <w:basedOn w:val="635"/>
    <w:link w:val="640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40"/>
    <w:uiPriority w:val="99"/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5"/>
    <w:uiPriority w:val="99"/>
    <w:unhideWhenUsed/>
    <w:rPr>
      <w:vertAlign w:val="superscript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5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>
    <w:name w:val="Header"/>
    <w:basedOn w:val="634"/>
    <w:link w:val="6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9" w:customStyle="1">
    <w:name w:val="Верхний колонтитул Знак"/>
    <w:basedOn w:val="635"/>
    <w:link w:val="638"/>
    <w:uiPriority w:val="99"/>
  </w:style>
  <w:style w:type="paragraph" w:styleId="640">
    <w:name w:val="Footer"/>
    <w:basedOn w:val="634"/>
    <w:link w:val="6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1" w:customStyle="1">
    <w:name w:val="Нижний колонтитул Знак"/>
    <w:basedOn w:val="635"/>
    <w:link w:val="640"/>
    <w:uiPriority w:val="99"/>
  </w:style>
  <w:style w:type="paragraph" w:styleId="642">
    <w:name w:val="Title"/>
    <w:basedOn w:val="634"/>
    <w:next w:val="634"/>
    <w:link w:val="643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3" w:customStyle="1">
    <w:name w:val="Заголовок Знак"/>
    <w:basedOn w:val="635"/>
    <w:link w:val="642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table" w:styleId="644">
    <w:name w:val="Table Grid"/>
    <w:basedOn w:val="63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45">
    <w:name w:val="Balloon Text"/>
    <w:basedOn w:val="634"/>
    <w:link w:val="64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6" w:customStyle="1">
    <w:name w:val="Текст выноски Знак"/>
    <w:basedOn w:val="635"/>
    <w:link w:val="64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ADM66</dc:creator>
  <cp:keywords/>
  <dc:description/>
  <cp:revision>7</cp:revision>
  <dcterms:created xsi:type="dcterms:W3CDTF">2022-03-31T11:31:00Z</dcterms:created>
  <dcterms:modified xsi:type="dcterms:W3CDTF">2023-06-05T05:41:53Z</dcterms:modified>
</cp:coreProperties>
</file>